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beosztása, 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Név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,beosztás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</w:rPr>
        <w:t>*Elektronikus ügyintézés esetén elektronikus aláírással és időbélyegzővel ellátva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Abban az esetben kell kitölteni, amennyiben ismert a foglalkoztatni kívánt személy</w:t>
      </w:r>
      <w:bookmarkStart w:id="3" w:name="_GoBack"/>
      <w:bookmarkEnd w:id="3"/>
    </w:p>
  </w:footnote>
  <w:footnote w:id="2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Fonts w:ascii="Arial" w:hAnsi="Arial" w:cs="Arial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részesült, a </w:t>
      </w:r>
      <w:hyperlink w:anchor="nyildemin" w:history="1">
        <w:r>
          <w:rPr>
            <w:rFonts w:ascii="Arial" w:hAnsi="Arial" w:cs="Arial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Fonts w:ascii="Arial" w:hAnsi="Arial" w:cs="Arial"/>
            <w:sz w:val="14"/>
            <w:szCs w:val="14"/>
          </w:rPr>
          <w:t>minimis</w:t>
        </w:r>
        <w:proofErr w:type="spellEnd"/>
        <w:r>
          <w:rPr>
            <w:rFonts w:ascii="Arial" w:hAnsi="Arial" w:cs="Arial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</w:t>
      </w:r>
      <w:proofErr w:type="gramStart"/>
      <w:r>
        <w:rPr>
          <w:rFonts w:ascii="Arial" w:hAnsi="Arial" w:cs="Arial"/>
          <w:sz w:val="14"/>
          <w:szCs w:val="14"/>
        </w:rPr>
        <w:t>dokumentum</w:t>
      </w:r>
      <w:proofErr w:type="gramEnd"/>
      <w:r>
        <w:rPr>
          <w:rFonts w:ascii="Arial" w:hAnsi="Arial" w:cs="Arial"/>
          <w:sz w:val="14"/>
          <w:szCs w:val="14"/>
        </w:rPr>
        <w:t xml:space="preserve">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-837654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Gárdonyi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04377-DB82-47BC-8FEE-8B90AB7B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2025-07-28T12:04:00Z</dcterms:created>
  <dcterms:modified xsi:type="dcterms:W3CDTF">2025-12-04T09:52:00Z</dcterms:modified>
</cp:coreProperties>
</file>